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AF7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Default="009D0AF7" w:rsidP="009D0AF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Table 1. Comparison of works in the literature for the determination of 3-NLT</w:t>
      </w:r>
    </w:p>
    <w:tbl>
      <w:tblPr>
        <w:tblStyle w:val="TableGrid"/>
        <w:tblW w:w="8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0"/>
        <w:gridCol w:w="241"/>
        <w:gridCol w:w="1592"/>
        <w:gridCol w:w="237"/>
        <w:gridCol w:w="1519"/>
        <w:gridCol w:w="1141"/>
      </w:tblGrid>
      <w:tr w:rsidR="009D0AF7" w:rsidTr="009D0AF7">
        <w:trPr>
          <w:trHeight w:val="578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Device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Linear range </w:t>
            </w:r>
            <w:r>
              <w:rPr>
                <w:rFonts w:ascii="Symbol" w:hAnsi="Symbol" w:cs="Times New Roman"/>
                <w:b/>
                <w:sz w:val="24"/>
                <w:szCs w:val="24"/>
              </w:rPr>
              <w:t></w:t>
            </w:r>
            <w:r>
              <w:rPr>
                <w:rFonts w:ascii="Symbol" w:hAnsi="Symbol" w:cs="Times New Roman"/>
                <w:b/>
                <w:sz w:val="24"/>
                <w:szCs w:val="24"/>
              </w:rPr>
              <w:t></w:t>
            </w:r>
            <w:r>
              <w:rPr>
                <w:rFonts w:ascii="Symbol" w:hAnsi="Symbol" w:cs="Times New Roman"/>
                <w:b/>
                <w:sz w:val="24"/>
                <w:szCs w:val="24"/>
              </w:rPr>
              <w:t>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mol L</w:t>
            </w:r>
            <w:r>
              <w:rPr>
                <w:rFonts w:ascii="Symbol" w:hAnsi="Symbol" w:cs="Times New Roman"/>
                <w:b/>
                <w:sz w:val="24"/>
                <w:szCs w:val="24"/>
                <w:vertAlign w:val="superscript"/>
              </w:rPr>
              <w:t></w:t>
            </w:r>
            <w:r>
              <w:rPr>
                <w:rFonts w:ascii="Symbol" w:hAnsi="Symbol" w:cs="Times New Roman"/>
                <w:b/>
                <w:sz w:val="24"/>
                <w:szCs w:val="24"/>
                <w:vertAlign w:val="superscript"/>
              </w:rPr>
              <w:t>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jc w:val="center"/>
              <w:rPr>
                <w:rFonts w:ascii="Symbol" w:hAnsi="Symbol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LOD </w:t>
            </w:r>
            <w:r>
              <w:rPr>
                <w:rFonts w:ascii="Symbol" w:hAnsi="Symbol" w:cs="Times New Roman"/>
                <w:b/>
                <w:sz w:val="24"/>
                <w:szCs w:val="24"/>
              </w:rPr>
              <w:t></w:t>
            </w:r>
          </w:p>
          <w:p w:rsidR="009D0AF7" w:rsidRDefault="009D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Symbol" w:hAnsi="Symbol" w:cs="Times New Roman"/>
                <w:b/>
                <w:sz w:val="24"/>
                <w:szCs w:val="24"/>
              </w:rPr>
              <w:t></w:t>
            </w:r>
            <w:r>
              <w:rPr>
                <w:rFonts w:ascii="Symbol" w:hAnsi="Symbol" w:cs="Times New Roman"/>
                <w:b/>
                <w:sz w:val="24"/>
                <w:szCs w:val="24"/>
              </w:rPr>
              <w:t>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mol L</w:t>
            </w:r>
            <w:r>
              <w:rPr>
                <w:rFonts w:ascii="Symbol" w:hAnsi="Symbol" w:cs="Times New Roman"/>
                <w:b/>
                <w:sz w:val="24"/>
                <w:szCs w:val="24"/>
                <w:vertAlign w:val="superscript"/>
              </w:rPr>
              <w:t></w:t>
            </w:r>
            <w:r>
              <w:rPr>
                <w:rFonts w:ascii="Symbol" w:hAnsi="Symbol" w:cs="Times New Roman"/>
                <w:b/>
                <w:sz w:val="24"/>
                <w:szCs w:val="24"/>
                <w:vertAlign w:val="superscript"/>
              </w:rPr>
              <w:t>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Ref.</w:t>
            </w:r>
          </w:p>
        </w:tc>
      </w:tr>
      <w:tr w:rsidR="009D0AF7" w:rsidTr="009D0AF7">
        <w:trPr>
          <w:trHeight w:val="304"/>
        </w:trPr>
        <w:tc>
          <w:tcPr>
            <w:tcW w:w="3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D0AF7" w:rsidRDefault="009D0A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Paper-SPE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 – 1000.0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&lt;EndNote&gt;&lt;Cite&gt;&lt;Author&gt;Martins&lt;/Author&gt;&lt;Year&gt;2018&lt;/Year&gt;&lt;RecNum&gt;5&lt;/RecNum&gt;&lt;DisplayText&gt;[29]&lt;/DisplayText&gt;&lt;record&gt;&lt;rec-number&gt;5&lt;/rec-number&gt;&lt;foreign-keys&gt;&lt;key app="EN" db-id="9t9d5ps2ir5zwcervzi5pvxsrz2vperxvwv9" timestamp="1653919610"&gt;5&lt;/key&gt;&lt;/foreign-keys&gt;&lt;ref-type name="Journal Article"&gt;17&lt;/ref-type&gt;&lt;contributors&gt;&lt;authors&gt;&lt;author&gt;Martins, Gabriela V&lt;/author&gt;&lt;author&gt;Marques, Ana C&lt;/author&gt;&lt;author&gt;Fortunato, Elvira&lt;/author&gt;&lt;author&gt;Sales, M Goreti F&lt;/author&gt;&lt;/authors&gt;&lt;/contributors&gt;&lt;titles&gt;&lt;title&gt;Wax-printed paper-based device for direct electrochemical detection of 3-nitrotyrosine&lt;/title&gt;&lt;secondary-title&gt;Electrochimica Acta&lt;/secondary-title&gt;&lt;/titles&gt;&lt;periodical&gt;&lt;full-title&gt;Electrochimica Acta&lt;/full-title&gt;&lt;/periodical&gt;&lt;pages&gt;60-68&lt;/pages&gt;&lt;volume&gt;284&lt;/volume&gt;&lt;dates&gt;&lt;year&gt;2018&lt;/year&gt;&lt;/dates&gt;&lt;isbn&gt;0013-4686&lt;/isbn&gt;&lt;urls&gt;&lt;/urls&gt;&lt;/record&gt;&lt;/Cite&gt;&lt;/EndNote&gt;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[29]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9D0AF7" w:rsidTr="009D0AF7">
        <w:trPr>
          <w:trHeight w:val="337"/>
        </w:trPr>
        <w:tc>
          <w:tcPr>
            <w:tcW w:w="3728" w:type="dxa"/>
            <w:vAlign w:val="center"/>
            <w:hideMark/>
          </w:tcPr>
          <w:p w:rsidR="009D0AF7" w:rsidRDefault="009D0A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Paper-bioSPE</w:t>
            </w:r>
          </w:p>
        </w:tc>
        <w:tc>
          <w:tcPr>
            <w:tcW w:w="1833" w:type="dxa"/>
            <w:gridSpan w:val="2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 – 1000.0</w:t>
            </w:r>
          </w:p>
        </w:tc>
        <w:tc>
          <w:tcPr>
            <w:tcW w:w="1756" w:type="dxa"/>
            <w:gridSpan w:val="2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1141" w:type="dxa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&lt;EndNote&gt;&lt;Cite&gt;&lt;Author&gt;Martins&lt;/Author&gt;&lt;Year&gt;2020&lt;/Year&gt;&lt;RecNum&gt;6&lt;/RecNum&gt;&lt;DisplayText&gt;[57]&lt;/DisplayText&gt;&lt;record&gt;&lt;rec-number&gt;6&lt;/rec-number&gt;&lt;foreign-keys&gt;&lt;key app="EN" db-id="2dxva5xxszvz2fevp9rv9relwrvvrdtew9sr" timestamp="1668522751"&gt;6&lt;/key&gt;&lt;/foreign-keys&gt;&lt;ref-type name="Journal Article"&gt;17&lt;/ref-type&gt;&lt;contributors&gt;&lt;authors&gt;&lt;author&gt;Martins, Gabriela V&lt;/author&gt;&lt;author&gt;Marques, Ana C&lt;/author&gt;&lt;author&gt;Fortunato, Elvira&lt;/author&gt;&lt;author&gt;Sales, M Goreti F&lt;/author&gt;&lt;/authors&gt;&lt;/contributors&gt;&lt;titles&gt;&lt;title&gt;based (bio) sensor for label-free detection of 3-nitrotyrosine in human urine samples using molecular imprinted polymer&lt;/title&gt;&lt;secondary-title&gt;Sensing and Bio-Sensing Research&lt;/secondary-title&gt;&lt;/titles&gt;&lt;periodical&gt;&lt;full-title&gt;Sensing and Bio-Sensing Research&lt;/full-title&gt;&lt;/periodical&gt;&lt;pages&gt;100333&lt;/pages&gt;&lt;volume&gt;28&lt;/volume&gt;&lt;dates&gt;&lt;year&gt;2020&lt;/year&gt;&lt;/dates&gt;&lt;isbn&gt;2214-1804&lt;/isbn&gt;&lt;urls&gt;&lt;/urls&gt;&lt;/record&gt;&lt;/Cite&gt;&lt;/EndNote&gt;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[57]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9D0AF7" w:rsidTr="009D0AF7">
        <w:trPr>
          <w:trHeight w:val="700"/>
        </w:trPr>
        <w:tc>
          <w:tcPr>
            <w:tcW w:w="3728" w:type="dxa"/>
            <w:vAlign w:val="center"/>
            <w:hideMark/>
          </w:tcPr>
          <w:p w:rsidR="009D0AF7" w:rsidRDefault="009D0A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AuNPs/MIP/AMWCNT@GONRs/GCE</w:t>
            </w:r>
          </w:p>
        </w:tc>
        <w:tc>
          <w:tcPr>
            <w:tcW w:w="1833" w:type="dxa"/>
            <w:gridSpan w:val="2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 – 50.0</w:t>
            </w:r>
          </w:p>
        </w:tc>
        <w:tc>
          <w:tcPr>
            <w:tcW w:w="1756" w:type="dxa"/>
            <w:gridSpan w:val="2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141" w:type="dxa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&lt;EndNote&gt;&lt;Cite&gt;&lt;Author&gt;Wang&lt;/Author&gt;&lt;Year&gt;2018&lt;/Year&gt;&lt;RecNum&gt;8&lt;/RecNum&gt;&lt;DisplayText&gt;[67]&lt;/DisplayText&gt;&lt;record&gt;&lt;rec-number&gt;8&lt;/rec-number&gt;&lt;foreign-keys&gt;&lt;key app="EN" db-id="9t9d5ps2ir5zwcervzi5pvxsrz2vperxvwv9" timestamp="1654529811"&gt;8&lt;/key&gt;&lt;/foreign-keys&gt;&lt;ref-type name="Journal Article"&gt;17&lt;/ref-type&gt;&lt;contributors&gt;&lt;authors&gt;&lt;author&gt;Wang, Shiqiao&lt;/author&gt;&lt;author&gt;Sun, Guohan&lt;/author&gt;&lt;author&gt;Chen, Zuanguang&lt;/author&gt;&lt;author&gt;Liang, Yawen&lt;/author&gt;&lt;author&gt;Zhou, Qing&lt;/author&gt;&lt;author&gt;Pan, Yufang&lt;/author&gt;&lt;author&gt;Zhai, Haiyun&lt;/author&gt;&lt;/authors&gt;&lt;/contributors&gt;&lt;titles&gt;&lt;title&gt;Constructing a novel composite of molecularly imprinted polymer-coated AuNPs electrochemical sensor for the determination of 3-nitrotyrosine&lt;/title&gt;&lt;secondary-title&gt;Electrochimica Acta&lt;/secondary-title&gt;&lt;/titles&gt;&lt;periodical&gt;&lt;full-title&gt;Electrochimica Acta&lt;/full-title&gt;&lt;/periodical&gt;&lt;pages&gt;893-902&lt;/pages&gt;&lt;volume&gt;259&lt;/volume&gt;&lt;dates&gt;&lt;year&gt;2018&lt;/year&gt;&lt;/dates&gt;&lt;isbn&gt;0013-4686&lt;/isbn&gt;&lt;urls&gt;&lt;/urls&gt;&lt;/record&gt;&lt;/Cite&gt;&lt;/EndNote&gt;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[67]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9D0AF7" w:rsidTr="009D0AF7">
        <w:trPr>
          <w:trHeight w:val="337"/>
        </w:trPr>
        <w:tc>
          <w:tcPr>
            <w:tcW w:w="3728" w:type="dxa"/>
            <w:vAlign w:val="center"/>
            <w:hideMark/>
          </w:tcPr>
          <w:p w:rsidR="009D0AF7" w:rsidRDefault="009D0A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CdWO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/ND@RGO/SPE</w:t>
            </w:r>
          </w:p>
        </w:tc>
        <w:tc>
          <w:tcPr>
            <w:tcW w:w="1833" w:type="dxa"/>
            <w:gridSpan w:val="2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 – 1840.0</w:t>
            </w:r>
          </w:p>
        </w:tc>
        <w:tc>
          <w:tcPr>
            <w:tcW w:w="1756" w:type="dxa"/>
            <w:gridSpan w:val="2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141" w:type="dxa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&lt;EndNote&gt;&lt;Cite&gt;&lt;Author&gt;Govindasamy&lt;/Author&gt;&lt;Year&gt;2018&lt;/Year&gt;&lt;RecNum&gt;1&lt;/RecNum&gt;&lt;DisplayText&gt;[23]&lt;/DisplayText&gt;&lt;record&gt;&lt;rec-number&gt;1&lt;/rec-number&gt;&lt;foreign-keys&gt;&lt;key app="EN" db-id="5xpfea05hrzww9e2vaoprdwvf2ffza99vs9a" timestamp="1654530082"&gt;1&lt;/key&gt;&lt;/foreign-keys&gt;&lt;ref-type name="Journal Article"&gt;17&lt;/ref-type&gt;&lt;contributors&gt;&lt;authors&gt;&lt;author&gt;Govindasamy, Mani&lt;/author&gt;&lt;author&gt;Manavalan, Shaktivel&lt;/author&gt;&lt;author&gt;Chen, Shen-Ming&lt;/author&gt;&lt;author&gt;Umamaheswari, Rajaji&lt;/author&gt;&lt;author&gt;Chen, Tse-Wei&lt;/author&gt;&lt;/authors&gt;&lt;/contributors&gt;&lt;titles&gt;&lt;title&gt;Determination of oxidative stress biomarker 3-nitro-L-tyrosine using CdWO4 nanodots decorated reduced graphene oxide&lt;/title&gt;&lt;secondary-title&gt;Sensors and Actuators B: Chemical&lt;/secondary-title&gt;&lt;/titles&gt;&lt;periodical&gt;&lt;full-title&gt;Sensors and Actuators B: Chemical&lt;/full-title&gt;&lt;/periodical&gt;&lt;pages&gt;274-281&lt;/pages&gt;&lt;volume&gt;272&lt;/volume&gt;&lt;dates&gt;&lt;year&gt;2018&lt;/year&gt;&lt;/dates&gt;&lt;isbn&gt;0925-4005&lt;/isbn&gt;&lt;urls&gt;&lt;/urls&gt;&lt;/record&gt;&lt;/Cite&gt;&lt;/EndNote&gt;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[23]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9D0AF7" w:rsidTr="009D0AF7">
        <w:trPr>
          <w:trHeight w:val="468"/>
        </w:trPr>
        <w:tc>
          <w:tcPr>
            <w:tcW w:w="3728" w:type="dxa"/>
            <w:vAlign w:val="center"/>
            <w:hideMark/>
          </w:tcPr>
          <w:p w:rsidR="009D0AF7" w:rsidRDefault="009D0A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CNTs-GV/PET (PBS)</w:t>
            </w:r>
          </w:p>
        </w:tc>
        <w:tc>
          <w:tcPr>
            <w:tcW w:w="1833" w:type="dxa"/>
            <w:gridSpan w:val="2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0.70 – 100.0</w:t>
            </w:r>
          </w:p>
        </w:tc>
        <w:tc>
          <w:tcPr>
            <w:tcW w:w="1756" w:type="dxa"/>
            <w:gridSpan w:val="2"/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0.53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This work This work</w:t>
            </w:r>
          </w:p>
        </w:tc>
      </w:tr>
      <w:tr w:rsidR="009D0AF7" w:rsidTr="009D0AF7">
        <w:trPr>
          <w:trHeight w:val="468"/>
        </w:trPr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CNTs-GV/PET (Human Serum)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 – 100.0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1.35</w:t>
            </w: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Default="009D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D0AF7" w:rsidRDefault="009D0AF7" w:rsidP="009D0AF7">
      <w:pPr>
        <w:spacing w:line="48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Paper-SPE: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paper-based sensor printed with commercial conductive ink based on carbon and silver on waterproof paper containing beeswax;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Paper-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en-US"/>
        </w:rPr>
        <w:t>bioSPE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paper-based sensor printed with commercial conductive ink based on carbon and silver on waterproof paper containing beeswax, modified with phenol monomer;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en-US"/>
        </w:rPr>
        <w:t>AuNPs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en-US"/>
        </w:rPr>
        <w:t>/MIP/AMWCNT@GONRs/GCE: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electropolymerized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sensor with molecularly printed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polypyrrole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modified with multi-walled CNTs and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graphene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CdWO</w:t>
      </w:r>
      <w:r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4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/ND@RGO/SPE: 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CdWO</w:t>
      </w:r>
      <w:r>
        <w:rPr>
          <w:rFonts w:ascii="Times New Roman" w:hAnsi="Times New Roman" w:cs="Times New Roman"/>
          <w:bCs/>
          <w:sz w:val="20"/>
          <w:szCs w:val="20"/>
          <w:vertAlign w:val="subscript"/>
          <w:lang w:val="en-US"/>
        </w:rPr>
        <w:t xml:space="preserve">4 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US"/>
        </w:rPr>
        <w:t>Nanodots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ecorated with reduced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graphene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oxide in a commercial screen-printed sensor; </w:t>
      </w:r>
    </w:p>
    <w:p w:rsidR="009D0AF7" w:rsidRDefault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Default="009D0AF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  <w:bookmarkStart w:id="0" w:name="_GoBack"/>
      <w:bookmarkEnd w:id="0"/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C7C6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Table S1. Approximate value of sensor preparation components </w:t>
      </w:r>
    </w:p>
    <w:tbl>
      <w:tblPr>
        <w:tblStyle w:val="TableGrid"/>
        <w:tblW w:w="8642" w:type="dxa"/>
        <w:jc w:val="center"/>
        <w:tblLook w:val="04A0" w:firstRow="1" w:lastRow="0" w:firstColumn="1" w:lastColumn="0" w:noHBand="0" w:noVBand="1"/>
      </w:tblPr>
      <w:tblGrid>
        <w:gridCol w:w="2668"/>
        <w:gridCol w:w="2092"/>
        <w:gridCol w:w="2181"/>
        <w:gridCol w:w="1701"/>
      </w:tblGrid>
      <w:tr w:rsidR="009D0AF7" w:rsidRPr="0009180D" w:rsidTr="00B41889">
        <w:trPr>
          <w:gridAfter w:val="1"/>
          <w:wAfter w:w="1701" w:type="dxa"/>
          <w:trHeight w:val="992"/>
          <w:jc w:val="center"/>
        </w:trPr>
        <w:tc>
          <w:tcPr>
            <w:tcW w:w="2668" w:type="dxa"/>
            <w:tcBorders>
              <w:top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</w:rPr>
              <w:t>Components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</w:rPr>
              <w:t>Market value (US$)</w:t>
            </w:r>
          </w:p>
        </w:tc>
        <w:tc>
          <w:tcPr>
            <w:tcW w:w="2181" w:type="dxa"/>
            <w:tcBorders>
              <w:top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Value for production of 2.3 g of ink</w:t>
            </w:r>
          </w:p>
        </w:tc>
      </w:tr>
      <w:tr w:rsidR="009D0AF7" w:rsidRPr="000C7C64" w:rsidTr="00B41889">
        <w:trPr>
          <w:gridAfter w:val="1"/>
          <w:wAfter w:w="1701" w:type="dxa"/>
          <w:trHeight w:val="406"/>
          <w:jc w:val="center"/>
        </w:trPr>
        <w:tc>
          <w:tcPr>
            <w:tcW w:w="2668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Glass Varnish (ACRILEX®) 100 mL</w:t>
            </w:r>
          </w:p>
        </w:tc>
        <w:tc>
          <w:tcPr>
            <w:tcW w:w="2092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5.60</w:t>
            </w:r>
          </w:p>
        </w:tc>
        <w:tc>
          <w:tcPr>
            <w:tcW w:w="2181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0.11 (2 g)</w:t>
            </w:r>
          </w:p>
        </w:tc>
      </w:tr>
      <w:tr w:rsidR="009D0AF7" w:rsidRPr="000C7C64" w:rsidTr="00B41889">
        <w:trPr>
          <w:gridAfter w:val="1"/>
          <w:wAfter w:w="1701" w:type="dxa"/>
          <w:trHeight w:val="428"/>
          <w:jc w:val="center"/>
        </w:trPr>
        <w:tc>
          <w:tcPr>
            <w:tcW w:w="2668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Carbon nanotubes 200g</w:t>
            </w:r>
          </w:p>
        </w:tc>
        <w:tc>
          <w:tcPr>
            <w:tcW w:w="2092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483.00</w:t>
            </w:r>
          </w:p>
        </w:tc>
        <w:tc>
          <w:tcPr>
            <w:tcW w:w="2181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0.7243 (0.3 g)</w:t>
            </w:r>
          </w:p>
        </w:tc>
      </w:tr>
      <w:tr w:rsidR="009D0AF7" w:rsidRPr="000C7C64" w:rsidTr="00B41889">
        <w:trPr>
          <w:gridAfter w:val="1"/>
          <w:wAfter w:w="1701" w:type="dxa"/>
          <w:trHeight w:val="406"/>
          <w:jc w:val="center"/>
        </w:trPr>
        <w:tc>
          <w:tcPr>
            <w:tcW w:w="2668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Adhesive paper (m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92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0,20</w:t>
            </w:r>
          </w:p>
        </w:tc>
        <w:tc>
          <w:tcPr>
            <w:tcW w:w="2181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0.008 (0.04 m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9D0AF7" w:rsidRPr="000C7C64" w:rsidTr="00B41889">
        <w:trPr>
          <w:gridAfter w:val="1"/>
          <w:wAfter w:w="1701" w:type="dxa"/>
          <w:trHeight w:val="406"/>
          <w:jc w:val="center"/>
        </w:trPr>
        <w:tc>
          <w:tcPr>
            <w:tcW w:w="2668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</w:t>
            </w:r>
          </w:p>
        </w:tc>
        <w:tc>
          <w:tcPr>
            <w:tcW w:w="2092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81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9D0AF7" w:rsidRPr="000C7C64" w:rsidTr="00B41889">
        <w:trPr>
          <w:trHeight w:val="406"/>
          <w:jc w:val="center"/>
        </w:trPr>
        <w:tc>
          <w:tcPr>
            <w:tcW w:w="2668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Total</w:t>
            </w:r>
          </w:p>
        </w:tc>
        <w:tc>
          <w:tcPr>
            <w:tcW w:w="2092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81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0.8423/30 units</w:t>
            </w:r>
          </w:p>
        </w:tc>
        <w:tc>
          <w:tcPr>
            <w:tcW w:w="1701" w:type="dxa"/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0.03/unit</w:t>
            </w:r>
          </w:p>
        </w:tc>
      </w:tr>
    </w:tbl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C7C64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D0AF7" w:rsidRPr="000C7C64" w:rsidRDefault="009D0AF7" w:rsidP="009D0A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C7C64">
        <w:rPr>
          <w:rFonts w:ascii="Times New Roman" w:hAnsi="Times New Roman" w:cs="Times New Roman"/>
          <w:sz w:val="24"/>
          <w:szCs w:val="24"/>
          <w:lang w:val="en-US"/>
        </w:rPr>
        <w:t>Table S2. Composition of synthetic urine sample.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69"/>
        <w:gridCol w:w="1854"/>
      </w:tblGrid>
      <w:tr w:rsidR="009D0AF7" w:rsidRPr="000C7C64" w:rsidTr="00B41889">
        <w:trPr>
          <w:trHeight w:val="992"/>
          <w:jc w:val="center"/>
        </w:trPr>
        <w:tc>
          <w:tcPr>
            <w:tcW w:w="1969" w:type="dxa"/>
            <w:tcBorders>
              <w:top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Reagent</w:t>
            </w:r>
          </w:p>
        </w:tc>
        <w:tc>
          <w:tcPr>
            <w:tcW w:w="1854" w:type="dxa"/>
            <w:tcBorders>
              <w:top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Concentration (g L</w:t>
            </w:r>
            <w:r w:rsidRPr="000C7C64">
              <w:rPr>
                <w:rFonts w:ascii="Symbol" w:hAnsi="Symbol" w:cs="Times New Roman"/>
                <w:b/>
                <w:sz w:val="24"/>
                <w:szCs w:val="24"/>
                <w:vertAlign w:val="superscript"/>
              </w:rPr>
              <w:t></w:t>
            </w:r>
            <w:r w:rsidRPr="000C7C64">
              <w:rPr>
                <w:rFonts w:ascii="Symbol" w:hAnsi="Symbol" w:cs="Times New Roman"/>
                <w:b/>
                <w:sz w:val="24"/>
                <w:szCs w:val="24"/>
                <w:vertAlign w:val="superscript"/>
              </w:rPr>
              <w:t></w:t>
            </w: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9D0AF7" w:rsidRPr="000C7C64" w:rsidTr="00B41889">
        <w:trPr>
          <w:trHeight w:val="406"/>
          <w:jc w:val="center"/>
        </w:trPr>
        <w:tc>
          <w:tcPr>
            <w:tcW w:w="1969" w:type="dxa"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CaCl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.2H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54" w:type="dxa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</w:tr>
      <w:tr w:rsidR="009D0AF7" w:rsidRPr="000C7C64" w:rsidTr="00B41889">
        <w:trPr>
          <w:trHeight w:val="428"/>
          <w:jc w:val="center"/>
        </w:trPr>
        <w:tc>
          <w:tcPr>
            <w:tcW w:w="1969" w:type="dxa"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Urea</w:t>
            </w:r>
          </w:p>
        </w:tc>
        <w:tc>
          <w:tcPr>
            <w:tcW w:w="1854" w:type="dxa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25.0</w:t>
            </w:r>
          </w:p>
        </w:tc>
      </w:tr>
      <w:tr w:rsidR="009D0AF7" w:rsidRPr="000C7C64" w:rsidTr="00B41889">
        <w:trPr>
          <w:trHeight w:val="406"/>
          <w:jc w:val="center"/>
        </w:trPr>
        <w:tc>
          <w:tcPr>
            <w:tcW w:w="1969" w:type="dxa"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NaH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854" w:type="dxa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1.40</w:t>
            </w:r>
          </w:p>
        </w:tc>
      </w:tr>
      <w:tr w:rsidR="009D0AF7" w:rsidRPr="000C7C64" w:rsidTr="00B41889">
        <w:trPr>
          <w:trHeight w:val="406"/>
          <w:jc w:val="center"/>
        </w:trPr>
        <w:tc>
          <w:tcPr>
            <w:tcW w:w="1969" w:type="dxa"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</w:p>
        </w:tc>
        <w:tc>
          <w:tcPr>
            <w:tcW w:w="1854" w:type="dxa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2.92</w:t>
            </w:r>
          </w:p>
        </w:tc>
      </w:tr>
      <w:tr w:rsidR="009D0AF7" w:rsidRPr="000C7C64" w:rsidTr="00B41889">
        <w:trPr>
          <w:trHeight w:val="406"/>
          <w:jc w:val="center"/>
        </w:trPr>
        <w:tc>
          <w:tcPr>
            <w:tcW w:w="1969" w:type="dxa"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854" w:type="dxa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</w:tr>
      <w:tr w:rsidR="009D0AF7" w:rsidRPr="000C7C64" w:rsidTr="00B41889">
        <w:trPr>
          <w:trHeight w:val="406"/>
          <w:jc w:val="center"/>
        </w:trPr>
        <w:tc>
          <w:tcPr>
            <w:tcW w:w="1969" w:type="dxa"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KCl</w:t>
            </w:r>
          </w:p>
        </w:tc>
        <w:tc>
          <w:tcPr>
            <w:tcW w:w="1854" w:type="dxa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1.60</w:t>
            </w:r>
          </w:p>
        </w:tc>
      </w:tr>
      <w:tr w:rsidR="009D0AF7" w:rsidRPr="000C7C64" w:rsidTr="00B41889">
        <w:trPr>
          <w:trHeight w:val="406"/>
          <w:jc w:val="center"/>
        </w:trPr>
        <w:tc>
          <w:tcPr>
            <w:tcW w:w="1969" w:type="dxa"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0C7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Cl</w:t>
            </w:r>
          </w:p>
        </w:tc>
        <w:tc>
          <w:tcPr>
            <w:tcW w:w="1854" w:type="dxa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</w:tr>
      <w:tr w:rsidR="009D0AF7" w:rsidRPr="000C7C64" w:rsidTr="00B41889">
        <w:trPr>
          <w:trHeight w:val="406"/>
          <w:jc w:val="center"/>
        </w:trPr>
        <w:tc>
          <w:tcPr>
            <w:tcW w:w="1969" w:type="dxa"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Creatinine</w:t>
            </w:r>
          </w:p>
        </w:tc>
        <w:tc>
          <w:tcPr>
            <w:tcW w:w="1854" w:type="dxa"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</w:tbl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7C6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Table S3. Optimization of SWV parameters and working pH value of a 0.1 </w:t>
      </w:r>
      <w:proofErr w:type="spellStart"/>
      <w:r w:rsidRPr="000C7C64">
        <w:rPr>
          <w:rFonts w:ascii="Times New Roman" w:hAnsi="Times New Roman" w:cs="Times New Roman"/>
          <w:sz w:val="24"/>
          <w:szCs w:val="24"/>
          <w:lang w:val="en-US"/>
        </w:rPr>
        <w:t>mol</w:t>
      </w:r>
      <w:proofErr w:type="spellEnd"/>
      <w:r w:rsidRPr="000C7C64">
        <w:rPr>
          <w:rFonts w:ascii="Times New Roman" w:hAnsi="Times New Roman" w:cs="Times New Roman"/>
          <w:sz w:val="24"/>
          <w:szCs w:val="24"/>
          <w:lang w:val="en-US"/>
        </w:rPr>
        <w:t xml:space="preserve"> L</w:t>
      </w:r>
      <w:r w:rsidRPr="000C7C64">
        <w:rPr>
          <w:rFonts w:ascii="Symbol" w:hAnsi="Symbol" w:cs="Times New Roman"/>
          <w:sz w:val="24"/>
          <w:szCs w:val="24"/>
          <w:vertAlign w:val="superscript"/>
          <w:lang w:val="en-US"/>
        </w:rPr>
        <w:t></w:t>
      </w:r>
      <w:r w:rsidRPr="000C7C64">
        <w:rPr>
          <w:rFonts w:ascii="Symbol" w:hAnsi="Symbol" w:cs="Times New Roman"/>
          <w:sz w:val="24"/>
          <w:szCs w:val="24"/>
          <w:vertAlign w:val="superscript"/>
          <w:lang w:val="en-US"/>
        </w:rPr>
        <w:t></w:t>
      </w:r>
      <w:r w:rsidRPr="000C7C64">
        <w:rPr>
          <w:rFonts w:ascii="Times New Roman" w:hAnsi="Times New Roman" w:cs="Times New Roman"/>
          <w:sz w:val="24"/>
          <w:szCs w:val="24"/>
          <w:lang w:val="en-US"/>
        </w:rPr>
        <w:t xml:space="preserve"> PBS solution, for 3-NLT detection.</w:t>
      </w:r>
    </w:p>
    <w:tbl>
      <w:tblPr>
        <w:tblStyle w:val="TableGrid"/>
        <w:tblW w:w="8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2966"/>
        <w:gridCol w:w="2967"/>
      </w:tblGrid>
      <w:tr w:rsidR="009D0AF7" w:rsidRPr="000C7C64" w:rsidTr="00B41889">
        <w:trPr>
          <w:trHeight w:val="483"/>
        </w:trPr>
        <w:tc>
          <w:tcPr>
            <w:tcW w:w="2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</w:rPr>
              <w:t>Parameter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</w:rPr>
              <w:t xml:space="preserve">Range 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</w:rPr>
              <w:t>Optimum value</w:t>
            </w:r>
          </w:p>
        </w:tc>
      </w:tr>
      <w:tr w:rsidR="009D0AF7" w:rsidRPr="000C7C64" w:rsidTr="00B41889">
        <w:trPr>
          <w:trHeight w:val="501"/>
        </w:trPr>
        <w:tc>
          <w:tcPr>
            <w:tcW w:w="2966" w:type="dxa"/>
            <w:tcBorders>
              <w:top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</w:rPr>
              <w:t>Frequency</w:t>
            </w:r>
          </w:p>
        </w:tc>
        <w:tc>
          <w:tcPr>
            <w:tcW w:w="2966" w:type="dxa"/>
            <w:tcBorders>
              <w:top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10 - 80 Hz</w:t>
            </w:r>
          </w:p>
        </w:tc>
        <w:tc>
          <w:tcPr>
            <w:tcW w:w="2967" w:type="dxa"/>
            <w:tcBorders>
              <w:top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Hz</w:t>
            </w:r>
          </w:p>
        </w:tc>
      </w:tr>
      <w:tr w:rsidR="009D0AF7" w:rsidRPr="000C7C64" w:rsidTr="00B41889">
        <w:trPr>
          <w:trHeight w:val="483"/>
        </w:trPr>
        <w:tc>
          <w:tcPr>
            <w:tcW w:w="2966" w:type="dxa"/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Amplitude</w:t>
            </w:r>
          </w:p>
        </w:tc>
        <w:tc>
          <w:tcPr>
            <w:tcW w:w="2966" w:type="dxa"/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20 - 90 mV</w:t>
            </w:r>
          </w:p>
        </w:tc>
        <w:tc>
          <w:tcPr>
            <w:tcW w:w="2967" w:type="dxa"/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 mV</w:t>
            </w:r>
          </w:p>
        </w:tc>
      </w:tr>
      <w:tr w:rsidR="009D0AF7" w:rsidRPr="000C7C64" w:rsidTr="00B41889">
        <w:trPr>
          <w:trHeight w:val="501"/>
        </w:trPr>
        <w:tc>
          <w:tcPr>
            <w:tcW w:w="2966" w:type="dxa"/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Step</w:t>
            </w:r>
          </w:p>
        </w:tc>
        <w:tc>
          <w:tcPr>
            <w:tcW w:w="2966" w:type="dxa"/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1 - 8 mV</w:t>
            </w:r>
          </w:p>
        </w:tc>
        <w:tc>
          <w:tcPr>
            <w:tcW w:w="2967" w:type="dxa"/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mV</w:t>
            </w:r>
          </w:p>
        </w:tc>
      </w:tr>
      <w:tr w:rsidR="009D0AF7" w:rsidRPr="000C7C64" w:rsidTr="00B41889">
        <w:trPr>
          <w:trHeight w:val="483"/>
        </w:trPr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6.0 - 7.5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9D0AF7" w:rsidRPr="000C7C64" w:rsidRDefault="009D0AF7" w:rsidP="00B4188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7.5</w:t>
            </w:r>
          </w:p>
        </w:tc>
      </w:tr>
    </w:tbl>
    <w:p w:rsidR="009D0AF7" w:rsidRPr="000C7C64" w:rsidRDefault="009D0AF7" w:rsidP="009D0AF7">
      <w:pPr>
        <w:spacing w:before="240"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0AF7" w:rsidRPr="000C7C64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C7C64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D0AF7" w:rsidRPr="000C7C64" w:rsidRDefault="009D0AF7" w:rsidP="009D0AF7">
      <w:pPr>
        <w:spacing w:before="240" w:after="0" w:line="48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C7C6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Table S4. </w:t>
      </w:r>
      <w:r w:rsidRPr="000C7C64">
        <w:rPr>
          <w:rFonts w:ascii="Times New Roman" w:hAnsi="Times New Roman"/>
          <w:color w:val="000000"/>
          <w:sz w:val="24"/>
          <w:szCs w:val="24"/>
          <w:lang w:val="en-US"/>
        </w:rPr>
        <w:t>Concentrations of 3-NLT and recovery values obtained in synthetic urine samples using CNTs-GV/PET electrodes, with the respective standard deviation values (n = 3).</w:t>
      </w:r>
    </w:p>
    <w:tbl>
      <w:tblPr>
        <w:tblStyle w:val="Tabelacomgrade1"/>
        <w:tblpPr w:leftFromText="141" w:rightFromText="141" w:vertAnchor="text" w:horzAnchor="margin" w:tblpXSpec="center" w:tblpY="67"/>
        <w:tblW w:w="8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126"/>
        <w:gridCol w:w="2596"/>
        <w:gridCol w:w="2415"/>
      </w:tblGrid>
      <w:tr w:rsidR="009D0AF7" w:rsidRPr="000C7C64" w:rsidTr="00B41889">
        <w:trPr>
          <w:trHeight w:val="838"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Added (</w:t>
            </w:r>
            <w:r w:rsidRPr="000C7C64">
              <w:rPr>
                <w:rFonts w:ascii="Symbol" w:hAnsi="Symbol" w:cs="Times New Roman"/>
                <w:b/>
                <w:bCs/>
                <w:sz w:val="24"/>
                <w:szCs w:val="24"/>
              </w:rPr>
              <w:t></w:t>
            </w:r>
            <w:r w:rsidRPr="000C7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mol L</w:t>
            </w:r>
            <w:r w:rsidRPr="000C7C64">
              <w:rPr>
                <w:rFonts w:ascii="Symbol" w:hAnsi="Symbol" w:cs="Times New Roman"/>
                <w:b/>
                <w:bCs/>
                <w:sz w:val="24"/>
                <w:szCs w:val="24"/>
                <w:vertAlign w:val="superscript"/>
              </w:rPr>
              <w:t></w:t>
            </w:r>
            <w:r w:rsidRPr="000C7C64">
              <w:rPr>
                <w:rFonts w:ascii="Symbol" w:hAnsi="Symbol" w:cs="Times New Roman"/>
                <w:b/>
                <w:bCs/>
                <w:sz w:val="24"/>
                <w:szCs w:val="24"/>
                <w:vertAlign w:val="superscript"/>
              </w:rPr>
              <w:t></w:t>
            </w:r>
            <w:r w:rsidRPr="000C7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Found (</w:t>
            </w:r>
            <w:r w:rsidRPr="000C7C64">
              <w:rPr>
                <w:rFonts w:ascii="Symbol" w:hAnsi="Symbol" w:cs="Times New Roman"/>
                <w:b/>
                <w:bCs/>
                <w:sz w:val="24"/>
                <w:szCs w:val="24"/>
              </w:rPr>
              <w:t></w:t>
            </w:r>
            <w:r w:rsidRPr="000C7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mol L</w:t>
            </w:r>
            <w:r w:rsidRPr="000C7C64">
              <w:rPr>
                <w:rFonts w:ascii="Symbol" w:hAnsi="Symbol" w:cs="Times New Roman"/>
                <w:b/>
                <w:bCs/>
                <w:sz w:val="24"/>
                <w:szCs w:val="24"/>
                <w:vertAlign w:val="superscript"/>
              </w:rPr>
              <w:t></w:t>
            </w:r>
            <w:r w:rsidRPr="000C7C64">
              <w:rPr>
                <w:rFonts w:ascii="Symbol" w:hAnsi="Symbol" w:cs="Times New Roman"/>
                <w:b/>
                <w:bCs/>
                <w:sz w:val="24"/>
                <w:szCs w:val="24"/>
                <w:vertAlign w:val="superscript"/>
              </w:rPr>
              <w:t></w:t>
            </w:r>
            <w:r w:rsidRPr="000C7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Recovery (%)</w:t>
            </w:r>
          </w:p>
        </w:tc>
      </w:tr>
      <w:tr w:rsidR="009D0AF7" w:rsidRPr="000C7C64" w:rsidTr="00B41889">
        <w:trPr>
          <w:trHeight w:val="402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101 ± 6</w:t>
            </w:r>
          </w:p>
        </w:tc>
      </w:tr>
      <w:tr w:rsidR="009D0AF7" w:rsidRPr="000C7C64" w:rsidTr="00B41889">
        <w:trPr>
          <w:trHeight w:val="419"/>
        </w:trPr>
        <w:tc>
          <w:tcPr>
            <w:tcW w:w="1560" w:type="dxa"/>
            <w:hideMark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A2</w:t>
            </w:r>
          </w:p>
        </w:tc>
        <w:tc>
          <w:tcPr>
            <w:tcW w:w="2126" w:type="dxa"/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  <w:tc>
          <w:tcPr>
            <w:tcW w:w="2596" w:type="dxa"/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2415" w:type="dxa"/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106 ± 13</w:t>
            </w:r>
          </w:p>
        </w:tc>
      </w:tr>
      <w:tr w:rsidR="009D0AF7" w:rsidRPr="00215447" w:rsidTr="00B41889">
        <w:trPr>
          <w:trHeight w:val="402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AF7" w:rsidRPr="000C7C64" w:rsidRDefault="009D0AF7" w:rsidP="00B418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A3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AF7" w:rsidRPr="000C7C64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28.6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AF7" w:rsidRPr="003C0082" w:rsidRDefault="009D0AF7" w:rsidP="00B418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C64">
              <w:rPr>
                <w:rFonts w:ascii="Times New Roman" w:hAnsi="Times New Roman" w:cs="Times New Roman"/>
                <w:sz w:val="24"/>
                <w:szCs w:val="24"/>
              </w:rPr>
              <w:t>95 ± 6</w:t>
            </w:r>
          </w:p>
        </w:tc>
      </w:tr>
    </w:tbl>
    <w:p w:rsidR="009D0AF7" w:rsidRPr="005769B1" w:rsidRDefault="009D0AF7" w:rsidP="009D0AF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834FF" w:rsidRDefault="009D0AF7"/>
    <w:sectPr w:rsidR="009834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F7"/>
    <w:rsid w:val="00026DED"/>
    <w:rsid w:val="0049389B"/>
    <w:rsid w:val="007F6F4D"/>
    <w:rsid w:val="009D0AF7"/>
    <w:rsid w:val="00B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07E66-675B-4571-9576-6143DA73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F7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0AF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leNormal"/>
    <w:uiPriority w:val="39"/>
    <w:rsid w:val="009D0AF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906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2023-08-21T16:54:00Z</dcterms:created>
  <dcterms:modified xsi:type="dcterms:W3CDTF">2023-08-21T17:03:00Z</dcterms:modified>
</cp:coreProperties>
</file>